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101bis</w:t>
      </w:r>
      <w:r>
        <w:rPr>
          <w:rFonts w:ascii="Arial" w:hAnsi="Arial" w:eastAsia="宋体" w:cs="Arial"/>
          <w:b/>
          <w:color w:val="auto"/>
          <w:sz w:val="24"/>
          <w:lang w:eastAsia="zh-CN"/>
        </w:rPr>
        <w:t>-e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200592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宋体"/>
          <w:b/>
          <w:color w:val="auto"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17</w:t>
      </w:r>
      <w:r>
        <w:rPr>
          <w:rFonts w:hint="eastAsia" w:ascii="Arial" w:hAnsi="Arial" w:eastAsia="宋体"/>
          <w:b/>
          <w:color w:val="auto"/>
          <w:sz w:val="24"/>
          <w:vertAlign w:val="superscript"/>
          <w:lang w:val="en-US" w:eastAsia="zh-CN"/>
        </w:rPr>
        <w:t>st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-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25</w:t>
      </w:r>
      <w:r>
        <w:rPr>
          <w:rFonts w:ascii="Arial" w:hAnsi="Arial" w:eastAsia="宋体"/>
          <w:b/>
          <w:color w:val="auto"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Jan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4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bookmarkStart w:id="0" w:name="OLE_LINK4"/>
      <w:r>
        <w:rPr>
          <w:rFonts w:hint="eastAsia" w:eastAsia="宋体"/>
          <w:color w:val="auto"/>
          <w:sz w:val="24"/>
          <w:lang w:val="en-US" w:eastAsia="zh-CN"/>
        </w:rPr>
        <w:t xml:space="preserve">Discussion on </w:t>
      </w:r>
      <w:bookmarkEnd w:id="0"/>
      <w:r>
        <w:rPr>
          <w:rFonts w:hint="eastAsia" w:eastAsia="宋体"/>
          <w:color w:val="auto"/>
          <w:sz w:val="24"/>
          <w:lang w:val="en-US" w:eastAsia="zh-CN"/>
        </w:rPr>
        <w:t>Impact of MPE enhancements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6</w:t>
      </w:r>
      <w:bookmarkStart w:id="2" w:name="_GoBack"/>
      <w:bookmarkEnd w:id="2"/>
      <w:r>
        <w:rPr>
          <w:rFonts w:hint="eastAsia" w:eastAsia="宋体"/>
          <w:color w:val="auto"/>
          <w:sz w:val="24"/>
          <w:lang w:val="en-US" w:eastAsia="zh-CN"/>
        </w:rPr>
        <w:t>.19.2.2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default" w:eastAsia="宋体"/>
          <w:color w:val="auto"/>
          <w:sz w:val="21"/>
          <w:szCs w:val="21"/>
          <w:lang w:val="en-US" w:eastAsia="zh-CN"/>
        </w:rPr>
        <w:t xml:space="preserve">In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101 e-meeting, one WF [1] was approved, the agreements are summarized as follows.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Impact for MPE</w:t>
            </w:r>
          </w:p>
          <w:p>
            <w:pPr>
              <w:numPr>
                <w:ilvl w:val="0"/>
                <w:numId w:val="4"/>
              </w:numPr>
              <w:ind w:left="840" w:leftChars="0" w:hanging="42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RAN4 will further check if the current definition/capability could implement the enhancement for a following case or not</w:t>
            </w:r>
          </w:p>
          <w:p>
            <w:pPr>
              <w:numPr>
                <w:ilvl w:val="0"/>
                <w:numId w:val="5"/>
              </w:numPr>
              <w:ind w:left="1260" w:leftChars="0" w:hanging="42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Relation between each of the reported P-MPR values(N≤4) tied with the corresponding respective(M=1) SSBRI(s)/CRI(s) and Pcmax</w:t>
            </w:r>
          </w:p>
          <w:p>
            <w:pPr>
              <w:numPr>
                <w:ilvl w:val="0"/>
                <w:numId w:val="6"/>
              </w:numPr>
              <w:ind w:left="840" w:leftChars="0" w:hanging="420" w:firstLineChars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For the next meeting, companies are encouraged to provide views if changes are required considering RAN1 agreements and above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 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At the meanwhile, after the discussion during recent three RAN1 meetings, the details of MPE mitigation in RAN1 side have been determined, the following agreements have been approved in [2] [3] [4]: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RAN1#105: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cs="Times"/>
                <w:i w:val="0"/>
                <w:iCs/>
                <w:szCs w:val="22"/>
                <w:shd w:val="pct10" w:color="auto" w:fill="FFFFFF"/>
                <w:lang w:val="en-US" w:eastAsia="ko-KR"/>
              </w:rPr>
            </w:pPr>
            <w:r>
              <w:rPr>
                <w:rFonts w:cs="Times"/>
                <w:i w:val="0"/>
                <w:iCs/>
                <w:szCs w:val="22"/>
                <w:highlight w:val="green"/>
                <w:shd w:val="pct10" w:color="auto" w:fill="FFFFFF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200" w:left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On Rel.17 enhancements to facilitate MPE mitigation, in RAN1#105-e, further discuss to down-select at least one or combine from the following options: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Opt 1A. {Rel.16 P-MPR based (beam/panel-level)} + Virtual PHR or a modified version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modified version may be associated with each activated UL TCI or, if applicable, joint TCI, or associated with each of the reported SSBRI(s)/CRI(s) and/or panel indication (if configured) from candidate pool, if reported.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reporting reuses the event-driven mechanisms from the Rel-16 P-MPR reporting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how to determine the virtual PHR or the modified version.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Opt 1D. {Rel.16 P-MPR based (beam/panel-level)}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reporting reuses the event-driven mechanisms from the Rel-16 P-MPR reporting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Opt 2A. {SSBRI(s)/CRI(s) and/or panel indication} + L1-RSRP [L1-SINR] or a modified version that accounts for MPE effect associated with each of the reported SSBRI(s)/CRI(s) and/or panel indication (if configured)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8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680" w:leftChars="840"/>
              <w:contextualSpacing w:val="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How panel-level L1-RSRP [L1-SINR] is reported if L1-RSRP [L1-SINR] is associated with panel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8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680" w:leftChars="840"/>
              <w:contextualSpacing w:val="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Whether/how to account for MPE effect in L1-RSRP [L1-SINR] report, e.g. by using scaled L1-RSRP [L1-SINR]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Whether/how to enhance existing beam reporting format to support Option 2A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When multiple SSBRIs/CRIs and their corresponding metrics are reported in the same reporting instance, whether to allow mixture between the SSBRI(s)/CRI(s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TW" w:bidi="ar-SA"/>
              </w:rPr>
              <w:t>)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) intended for MPE mitigation and for DL beam reporting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 the reporting is UE-initiated (event-driven) and/or NW-initiated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7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If Opt2A is selected and there is no consensus on a modified L1-RSRP definition, at least the Rel-15 L1-RSRP definition is reused and virtual PHR may be added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FFS: If gNB acknowledges MPE report from UE for UE-initiated (event-driven) reporting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If differential report is supported when multiple UL beams are reported in the same report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default" w:cs="Times"/>
                <w:i/>
                <w:iCs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RAN1#106: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In addition to the existing field in the PHR MAC-CE, N≥1 P-MPR values can be reported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N P-MPR values are reported together with the following: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2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(Working Assumption) For each P-MPR value, up to M SSBRI(s)/CRI(s), where the SSBRI(s)/CRI(s) is selected by the UE from a candidate SSB/CSI-RS resource pool (FFS: how to perform the selection)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3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The supported value(s) of M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 N represents the number of selected beams or the number of panels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Supported values of N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FFS: Whether beam-specific and/or panel-specific PHR is also reported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Additional reporting quantities, e.g. SSBRI/CRI, MPR+DL RSRP, or modified virtual PHR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additional signaling (e.g. CSI triggering) from the NW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</w:pP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RAN1#106bis: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jc w:val="both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On Rel.17 enhancements to facilitate MPE mitigation, support N=1, 2, 3, and 4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N is defined as the number of reported measurements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UE reports supported largest N value as a UE capability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textAlignment w:val="auto"/>
              <w:rPr>
                <w:rFonts w:ascii="Calibri" w:hAnsi="Calibri" w:cs="Calibri"/>
                <w:color w:val="1F497D"/>
                <w:szCs w:val="20"/>
              </w:rPr>
            </w:pPr>
            <w:r>
              <w:rPr>
                <w:szCs w:val="20"/>
                <w:lang w:eastAsia="zh-CN"/>
              </w:rPr>
              <w:t xml:space="preserve">On Rel.17 enhancements to facilitate MPE mitigation, confirm the following working assumption (in the midst of the previous agreement) as an agreement with the following refinement (highlighted in </w:t>
            </w:r>
            <w:r>
              <w:rPr>
                <w:color w:val="FF0000"/>
                <w:szCs w:val="20"/>
                <w:lang w:eastAsia="zh-CN"/>
              </w:rPr>
              <w:t>red</w:t>
            </w:r>
            <w:r>
              <w:rPr>
                <w:szCs w:val="20"/>
                <w:lang w:eastAsia="zh-CN"/>
              </w:rPr>
              <w:t>):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200"/>
              <w:textAlignment w:val="auto"/>
              <w:rPr>
                <w:szCs w:val="20"/>
              </w:rPr>
            </w:pPr>
            <w:r>
              <w:rPr>
                <w:szCs w:val="20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In addition to the existing field in the PHR MAC-CE, N≥1 P-MPR values can be reported </w:t>
            </w:r>
          </w:p>
          <w:p>
            <w:pPr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The N P-MPR values are reported together with the following: </w:t>
            </w:r>
          </w:p>
          <w:p>
            <w:pPr>
              <w:keepNext w:val="0"/>
              <w:keepLines w:val="0"/>
              <w:pageBreakBefore w:val="0"/>
              <w:numPr>
                <w:ilvl w:val="2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(Working Assumption)</w:t>
            </w:r>
            <w:r>
              <w:rPr>
                <w:rFonts w:eastAsia="Times New Roman"/>
                <w:szCs w:val="20"/>
              </w:rPr>
              <w:t xml:space="preserve"> For each P-MPR value, up to M SSBRI(s)/CRI(s), where the SSBRI(s)/CRI(s) is selected by the UE from a candidate SSB/CSI-RS resource pool (FFS: how to perform the selection) </w:t>
            </w:r>
          </w:p>
          <w:p>
            <w:pPr>
              <w:keepNext w:val="0"/>
              <w:keepLines w:val="0"/>
              <w:pageBreakBefore w:val="0"/>
              <w:numPr>
                <w:ilvl w:val="3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color w:val="FF0000"/>
                <w:szCs w:val="20"/>
              </w:rPr>
            </w:pPr>
            <w:r>
              <w:rPr>
                <w:rFonts w:eastAsia="Times New Roman"/>
                <w:color w:val="FF0000"/>
                <w:szCs w:val="20"/>
              </w:rPr>
              <w:t>Support M=1</w:t>
            </w:r>
          </w:p>
          <w:p>
            <w:pPr>
              <w:keepNext w:val="0"/>
              <w:keepLines w:val="0"/>
              <w:pageBreakBefore w:val="0"/>
              <w:numPr>
                <w:ilvl w:val="3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trike/>
                <w:color w:val="FF0000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The supported value(s) of M</w:t>
            </w:r>
            <w:r>
              <w:rPr>
                <w:rFonts w:eastAsia="Times New Roman"/>
                <w:iCs/>
                <w:strike/>
                <w:color w:val="FF0000"/>
                <w:szCs w:val="20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trike/>
                <w:color w:val="FF0000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Additional reporting quantities, e.g. SSBRI/CRI, MPR+DL RSRP, or modified virtual PHR</w:t>
            </w:r>
          </w:p>
          <w:p>
            <w:pPr>
              <w:pStyle w:val="3"/>
              <w:keepNext w:val="0"/>
              <w:keepLines w:val="0"/>
              <w:pageBreakBefore w:val="0"/>
              <w:tabs>
                <w:tab w:val="left" w:pos="226"/>
                <w:tab w:val="left" w:pos="284"/>
                <w:tab w:val="left" w:pos="5103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additional signaling (e.g. CSI triggering) from the NW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Based on the conclusions both in RAN4 meetings and RAN1 meetings, we provide our further analysis on the RAN4 impact of the MPE mitigation considering the RAN1 progress.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pStyle w:val="3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In order to facilitate MPE mitigation, In Rel-15, one UE capability </w:t>
      </w:r>
      <w:r>
        <w:rPr>
          <w:rFonts w:hint="eastAsia"/>
          <w:i/>
          <w:iCs/>
          <w:lang w:val="en-US" w:eastAsia="zh-CN"/>
        </w:rPr>
        <w:t xml:space="preserve">maxUplinkDutyCycle-FR2 </w:t>
      </w:r>
      <w:r>
        <w:rPr>
          <w:rFonts w:hint="eastAsia" w:eastAsia="宋体"/>
          <w:color w:val="auto"/>
          <w:lang w:val="en-US" w:eastAsia="zh-CN"/>
        </w:rPr>
        <w:t xml:space="preserve">was introduced. UE reports this capability to assist the NW in uplink scheduling so as to ensure that the MPE requirements are met. Candidate values of </w:t>
      </w:r>
      <w:r>
        <w:rPr>
          <w:rFonts w:hint="eastAsia"/>
          <w:i/>
          <w:iCs/>
          <w:lang w:val="en-US" w:eastAsia="zh-CN"/>
        </w:rPr>
        <w:t>maxUplinkDutyCycle-FR2</w:t>
      </w:r>
      <w:r>
        <w:rPr>
          <w:rFonts w:hint="eastAsia" w:eastAsia="宋体"/>
          <w:color w:val="auto"/>
          <w:lang w:val="en-US" w:eastAsia="zh-CN"/>
        </w:rPr>
        <w:t xml:space="preserve"> include: 15%, 20%, 25%, 30%, 40% and 50%. UE informs the NW of the candidate value supported by itself, but the capability reported by UE does not restrict the uplink scheduling of the NW, just a recommendation. Suppose the UE reports that its capability is 15%, but the actual duty cycle decided by the NW scheduling is greater than 15%, then the UE has to perform power reduction, i.e. applying the P-MPR to ensure MPE regulation requirements.</w:t>
      </w:r>
    </w:p>
    <w:p>
      <w:pPr>
        <w:pStyle w:val="3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Once UE performs power reduction excessively, radio link failure will occurs. Therefore, the MPE mitigation is still be optimized during Rel-16.</w:t>
      </w:r>
    </w:p>
    <w:p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In Rel-16, several solutions such as dynamic duty cycle, P-MPR reporting were discussed. Finally the solution of P-MPR reporting was standardized, the P-MPR report was added into legacy PHR reporting using the reserved bits of PHR MAC CE. The similar quantization method like PHR was used for P-MPR report, the following table shows the quantized P-MPR values in [5].</w:t>
      </w:r>
    </w:p>
    <w:p>
      <w:pPr>
        <w:pStyle w:val="3"/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984750" cy="853440"/>
            <wp:effectExtent l="0" t="0" r="13970" b="0"/>
            <wp:docPr id="3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475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jc w:val="both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For multi-cell PHR report, the triggered PHR report can be an actual value or a virtual value, for the case of virtual value, since the PHR value itself is virtual, not deferring to any actual UL transmission, then the P-MPR report is unnecessary, Pcmax report is also unnecessary. So for the case of virtual PHR, UE do not need to report P-MPR even the MPE event triggered. Based on the analysis, the reported P-MPR value corresponds to an actual UL transmission. For FR2, each actual UL transmission should be transmitted using the indicated TCI state by NW, so we can believe the reported P-MPR only matches the UL beam currently used by UE for the actual UL transmission.   </w:t>
      </w:r>
    </w:p>
    <w:p>
      <w:pPr>
        <w:pStyle w:val="3"/>
        <w:jc w:val="both"/>
        <w:rPr>
          <w:rFonts w:hint="eastAsia" w:eastAsia="宋体" w:cs="Times New Roman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Based on conclusion in RAN1, only P-MPR report enhancement approved. For Pcmax and PHR reports, without any enhancements, so such two reports still re-use legacy Rel-16. We believe such decision is reasonable, UE only need to determine the actual UL transmission</w:t>
      </w:r>
      <w:r>
        <w:rPr>
          <w:rFonts w:hint="default" w:eastAsia="宋体"/>
          <w:color w:val="auto"/>
          <w:lang w:val="en-US" w:eastAsia="zh-CN"/>
        </w:rPr>
        <w:t>’</w:t>
      </w:r>
      <w:r>
        <w:rPr>
          <w:rFonts w:hint="eastAsia" w:eastAsia="宋体"/>
          <w:color w:val="auto"/>
          <w:lang w:val="en-US" w:eastAsia="zh-CN"/>
        </w:rPr>
        <w:t xml:space="preserve">s Pcmax and PHR. For the beam directions without UL transmission, the corresponding P-MPR can be predicted through 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eastAsia" w:ascii="Times New Roman" w:hAnsi="Times New Roman" w:eastAsia="宋体" w:cs="Times New Roman"/>
          <w:lang w:val="en-US" w:eastAsia="ja-JP"/>
        </w:rPr>
        <w:t>roximity detection</w:t>
      </w:r>
      <w:r>
        <w:rPr>
          <w:rFonts w:hint="eastAsia" w:eastAsia="宋体" w:cs="Times New Roman"/>
          <w:lang w:val="en-US" w:eastAsia="zh-CN"/>
        </w:rPr>
        <w:t>.</w:t>
      </w:r>
    </w:p>
    <w:p>
      <w:pPr>
        <w:pStyle w:val="3"/>
        <w:jc w:val="both"/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 xml:space="preserve">Some company concerns that the relation between each of the reported P-MPR values(up to four) tied with the corresponding respective(M=1) SSBRI(s)/CRI(s) and Pcmax. We do not think so. For the relation between each reported P-MPR and the conrresponding respective SSBRI/CRI, we think RAN1 would give the </w:t>
      </w:r>
      <w:r>
        <w:rPr>
          <w:rFonts w:hint="eastAsia" w:cs="Times New Roman"/>
          <w:lang w:val="en-US" w:eastAsia="zh-CN"/>
        </w:rPr>
        <w:t xml:space="preserve">concrete </w:t>
      </w:r>
      <w:r>
        <w:rPr>
          <w:rFonts w:hint="eastAsia" w:eastAsia="宋体" w:cs="Times New Roman"/>
          <w:lang w:val="en-US" w:eastAsia="zh-CN"/>
        </w:rPr>
        <w:t>solution and thay has attached some conclusion. So RAN4 do not consider such relation. For the relation between the reported P-MPR and Pcmax, since no enhancement for Pcmax, so as same as legacy Rel-16 Pcmax report, the reported Pcmax corresponds to the actual UL transmission and the actual beam direction. Therefore, we do not need to provide any additional relation clarification between the reported P-MPRs and Pcmax.</w:t>
      </w:r>
    </w:p>
    <w:p>
      <w:pPr>
        <w:pStyle w:val="3"/>
        <w:jc w:val="both"/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Observation 1: Until now, without any enhancement about Pcmax approved in RAN1, so the meaning of Pcmax is still same as in legacy Rel-16. </w:t>
      </w:r>
    </w:p>
    <w:p>
      <w:pPr>
        <w:pStyle w:val="3"/>
        <w:jc w:val="both"/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bookmarkStart w:id="1" w:name="OLE_LINK1"/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Proposal 1: </w:t>
      </w:r>
      <w:bookmarkEnd w:id="1"/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From RAN4</w:t>
      </w:r>
      <w:r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s perspective, not any requirement enhancement or additional relation clarification is needed.</w:t>
      </w:r>
    </w:p>
    <w:p>
      <w:pPr>
        <w:pStyle w:val="3"/>
        <w:jc w:val="both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Whether additional UE capability needed was also discussed during 101 meeting. Two options proposed but without any conclusion attached.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20" w:hanging="363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Proposals</w:t>
            </w:r>
          </w:p>
          <w:p>
            <w:pPr>
              <w:pStyle w:val="27"/>
              <w:keepNext w:val="0"/>
              <w:keepLines w:val="0"/>
              <w:pageBreakBefore w:val="0"/>
              <w:widowControl w:val="0"/>
              <w:numPr>
                <w:ilvl w:val="1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440" w:hanging="363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 xml:space="preserve">Option 1: Proximity detection </w:t>
            </w:r>
          </w:p>
          <w:p>
            <w:pPr>
              <w:pStyle w:val="27"/>
              <w:keepNext w:val="0"/>
              <w:keepLines w:val="0"/>
              <w:pageBreakBefore w:val="0"/>
              <w:widowControl w:val="0"/>
              <w:numPr>
                <w:ilvl w:val="1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440" w:hanging="363" w:firstLineChars="0"/>
              <w:textAlignment w:val="auto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Option 2: Nothing</w:t>
            </w:r>
          </w:p>
        </w:tc>
      </w:tr>
    </w:tbl>
    <w:p>
      <w:pPr>
        <w:pStyle w:val="3"/>
        <w:jc w:val="both"/>
        <w:rPr>
          <w:rFonts w:hint="default" w:eastAsia="宋体"/>
          <w:color w:val="auto"/>
          <w:lang w:val="en-US" w:eastAsia="zh-CN"/>
        </w:rPr>
      </w:pPr>
      <w:r>
        <w:rPr>
          <w:rFonts w:hint="default" w:eastAsia="宋体"/>
          <w:color w:val="auto"/>
          <w:lang w:val="en-US" w:eastAsia="zh-CN"/>
        </w:rPr>
        <w:t xml:space="preserve">Proximity detection is under discussion in FR2 UL gap topic. Based on the discussion under that topic, UE can execute proximity detection with or without specific UL gap configuration. </w:t>
      </w:r>
      <w:r>
        <w:rPr>
          <w:rFonts w:hint="eastAsia" w:eastAsia="宋体"/>
          <w:color w:val="auto"/>
          <w:lang w:val="en-US" w:eastAsia="zh-CN"/>
        </w:rPr>
        <w:t>Whether UE capability is needed can be discussed at that topic, here, we do not need such UE capability should be considered. So, we prefer Option 2.</w:t>
      </w:r>
    </w:p>
    <w:p>
      <w:pPr>
        <w:pStyle w:val="3"/>
        <w:jc w:val="both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Proposal 2: The need of UE capability for proximity detection should be discussed at other topic. Here, since the multiple P-MPR enhancement, we do not see the necessity of considering UE capability for proximity detection. 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1"/>
          <w:szCs w:val="21"/>
          <w:lang w:val="en-GB" w:eastAsia="zh-CN"/>
        </w:rPr>
      </w:pP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proposals 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for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the enhancement of MPE mitigation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:</w:t>
      </w:r>
    </w:p>
    <w:p>
      <w:pPr>
        <w:pStyle w:val="3"/>
        <w:jc w:val="both"/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Observation 1: Until now, without any enhancement about Pcmax approved in RAN1, so the meaning of Pcmax is still same as in legacy Rel-16. </w:t>
      </w:r>
    </w:p>
    <w:p>
      <w:pPr>
        <w:pStyle w:val="3"/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  <w:t>Proposal</w:t>
      </w:r>
      <w:r>
        <w:rPr>
          <w:rFonts w:eastAsia="宋体"/>
          <w:b/>
          <w:bCs/>
          <w:color w:val="auto"/>
          <w:sz w:val="21"/>
          <w:szCs w:val="21"/>
          <w:highlight w:val="none"/>
          <w:lang w:val="en-GB" w:eastAsia="zh-CN"/>
        </w:rPr>
        <w:t xml:space="preserve"> 1:</w:t>
      </w:r>
      <w:r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From RAN4</w:t>
      </w:r>
      <w:r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s perspective, not any requirement enhancement or additional relation clarification is needed.</w:t>
      </w:r>
    </w:p>
    <w:p>
      <w:pPr>
        <w:pStyle w:val="3"/>
        <w:rPr>
          <w:rFonts w:hint="default"/>
          <w:color w:val="auto"/>
          <w:lang w:val="en-US" w:eastAsia="zh-CN"/>
        </w:rPr>
      </w:pPr>
      <w:r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  <w:t>Proposal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: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 The need of UE capability for proximity detection should be discussed at other topic. Here, since the multiple P-MPR enhancement, we do not see the necessity of considering UE capability for proximity detection.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pStyle w:val="9"/>
        <w:rPr>
          <w:color w:val="auto"/>
        </w:rPr>
      </w:pPr>
      <w:r>
        <w:rPr>
          <w:rFonts w:hint="eastAsia"/>
          <w:color w:val="auto"/>
          <w:lang w:val="en-US" w:eastAsia="zh-CN"/>
        </w:rPr>
        <w:t>R4-2</w:t>
      </w:r>
      <w:r>
        <w:rPr>
          <w:rFonts w:hint="eastAsia"/>
          <w:color w:val="auto"/>
          <w:highlight w:val="none"/>
          <w:lang w:val="en-US" w:eastAsia="zh-CN"/>
        </w:rPr>
        <w:t>120006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“</w:t>
      </w:r>
      <w:r>
        <w:rPr>
          <w:rFonts w:hint="eastAsia"/>
          <w:color w:val="auto"/>
          <w:lang w:val="en-US" w:eastAsia="zh-CN"/>
        </w:rPr>
        <w:t>WF on FeMIMO RF</w:t>
      </w:r>
      <w:r>
        <w:rPr>
          <w:rFonts w:hint="default"/>
          <w:color w:val="auto"/>
          <w:lang w:val="en-US" w:eastAsia="zh-CN"/>
        </w:rPr>
        <w:t>”</w:t>
      </w:r>
      <w:r>
        <w:rPr>
          <w:rFonts w:hint="eastAsia"/>
          <w:color w:val="auto"/>
          <w:lang w:val="en-US" w:eastAsia="zh-CN"/>
        </w:rPr>
        <w:t>, Samsung.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Chair's Notes RAN1#10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Chair's Notes RAN1#106-e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Chair's Notes RAN1#106bis-e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38.321-g50</w:t>
      </w:r>
    </w:p>
    <w:p>
      <w:pPr>
        <w:pStyle w:val="9"/>
        <w:numPr>
          <w:ilvl w:val="0"/>
          <w:numId w:val="0"/>
        </w:numPr>
        <w:ind w:leftChars="0"/>
        <w:rPr>
          <w:color w:val="auto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6B4C67"/>
    <w:multiLevelType w:val="singleLevel"/>
    <w:tmpl w:val="CF6B4C67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9BF726B"/>
    <w:multiLevelType w:val="multilevel"/>
    <w:tmpl w:val="19BF72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92BEB79"/>
    <w:multiLevelType w:val="singleLevel"/>
    <w:tmpl w:val="292BEB79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123AE4"/>
    <w:multiLevelType w:val="multilevel"/>
    <w:tmpl w:val="56123AE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62813F17"/>
    <w:multiLevelType w:val="multilevel"/>
    <w:tmpl w:val="62813F17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8">
    <w:nsid w:val="62E6891E"/>
    <w:multiLevelType w:val="singleLevel"/>
    <w:tmpl w:val="62E6891E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9">
    <w:nsid w:val="64C51584"/>
    <w:multiLevelType w:val="multilevel"/>
    <w:tmpl w:val="64C515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3D80C35"/>
    <w:rsid w:val="0405471F"/>
    <w:rsid w:val="045D5DCE"/>
    <w:rsid w:val="05200480"/>
    <w:rsid w:val="06AA1695"/>
    <w:rsid w:val="07CD3CDD"/>
    <w:rsid w:val="0C5A35F9"/>
    <w:rsid w:val="0CC1076F"/>
    <w:rsid w:val="0F4B67EF"/>
    <w:rsid w:val="0F5E2230"/>
    <w:rsid w:val="10845506"/>
    <w:rsid w:val="10DA5664"/>
    <w:rsid w:val="10F01192"/>
    <w:rsid w:val="12CB53F3"/>
    <w:rsid w:val="13060AA5"/>
    <w:rsid w:val="16133E3F"/>
    <w:rsid w:val="16E7731D"/>
    <w:rsid w:val="17542C92"/>
    <w:rsid w:val="18AA5B3E"/>
    <w:rsid w:val="19074ED7"/>
    <w:rsid w:val="194122C5"/>
    <w:rsid w:val="1B5A5199"/>
    <w:rsid w:val="1BD31CD2"/>
    <w:rsid w:val="1F19538C"/>
    <w:rsid w:val="2082712A"/>
    <w:rsid w:val="21B11B74"/>
    <w:rsid w:val="231F3A56"/>
    <w:rsid w:val="24715F69"/>
    <w:rsid w:val="263D51AB"/>
    <w:rsid w:val="2B034D47"/>
    <w:rsid w:val="2CC92235"/>
    <w:rsid w:val="2D8824A9"/>
    <w:rsid w:val="2DBD3842"/>
    <w:rsid w:val="2DBD3CB8"/>
    <w:rsid w:val="2E1176AC"/>
    <w:rsid w:val="2ECB7AE0"/>
    <w:rsid w:val="2F196F3B"/>
    <w:rsid w:val="2F6A7113"/>
    <w:rsid w:val="30C973EB"/>
    <w:rsid w:val="33672BF5"/>
    <w:rsid w:val="350312A7"/>
    <w:rsid w:val="3C4E1516"/>
    <w:rsid w:val="3D0F477C"/>
    <w:rsid w:val="3D6F2596"/>
    <w:rsid w:val="3FF32B7B"/>
    <w:rsid w:val="404F7A6B"/>
    <w:rsid w:val="40C765F3"/>
    <w:rsid w:val="40CC463F"/>
    <w:rsid w:val="42CE6A0F"/>
    <w:rsid w:val="42E26F89"/>
    <w:rsid w:val="43C320E4"/>
    <w:rsid w:val="455509E4"/>
    <w:rsid w:val="45F60A50"/>
    <w:rsid w:val="46157ABD"/>
    <w:rsid w:val="46280997"/>
    <w:rsid w:val="477801EF"/>
    <w:rsid w:val="47DB43C5"/>
    <w:rsid w:val="4CC53F61"/>
    <w:rsid w:val="4D202C71"/>
    <w:rsid w:val="4D513299"/>
    <w:rsid w:val="4E6F0AEA"/>
    <w:rsid w:val="4EA56C23"/>
    <w:rsid w:val="4F0B3630"/>
    <w:rsid w:val="4F9305DC"/>
    <w:rsid w:val="4FBD6EC5"/>
    <w:rsid w:val="517202D3"/>
    <w:rsid w:val="51B14BED"/>
    <w:rsid w:val="51CF00E7"/>
    <w:rsid w:val="52F664E7"/>
    <w:rsid w:val="52FE4FB2"/>
    <w:rsid w:val="5342118C"/>
    <w:rsid w:val="54175BE1"/>
    <w:rsid w:val="544A23E1"/>
    <w:rsid w:val="560E743D"/>
    <w:rsid w:val="564B25D4"/>
    <w:rsid w:val="566165B2"/>
    <w:rsid w:val="56D06899"/>
    <w:rsid w:val="58C80CE9"/>
    <w:rsid w:val="58E11E6E"/>
    <w:rsid w:val="590733E0"/>
    <w:rsid w:val="59E05DA7"/>
    <w:rsid w:val="5A151B9F"/>
    <w:rsid w:val="5A26004C"/>
    <w:rsid w:val="5B0524C2"/>
    <w:rsid w:val="5D103461"/>
    <w:rsid w:val="5DCE6073"/>
    <w:rsid w:val="5F7F3C30"/>
    <w:rsid w:val="60552863"/>
    <w:rsid w:val="6086070B"/>
    <w:rsid w:val="63357437"/>
    <w:rsid w:val="6544784D"/>
    <w:rsid w:val="65CD0C5C"/>
    <w:rsid w:val="65F872D3"/>
    <w:rsid w:val="66E759DF"/>
    <w:rsid w:val="68105991"/>
    <w:rsid w:val="68797DD1"/>
    <w:rsid w:val="68A411BE"/>
    <w:rsid w:val="6BD66290"/>
    <w:rsid w:val="6C7858D5"/>
    <w:rsid w:val="6CF36133"/>
    <w:rsid w:val="6DDE3DAF"/>
    <w:rsid w:val="70A55C85"/>
    <w:rsid w:val="7123768D"/>
    <w:rsid w:val="715F4C2D"/>
    <w:rsid w:val="76DB757D"/>
    <w:rsid w:val="77770209"/>
    <w:rsid w:val="77B7237F"/>
    <w:rsid w:val="79212E3C"/>
    <w:rsid w:val="7AB943F6"/>
    <w:rsid w:val="7C45431D"/>
    <w:rsid w:val="7C963B24"/>
    <w:rsid w:val="7DDD0501"/>
    <w:rsid w:val="7E2B63E7"/>
    <w:rsid w:val="7E935AFB"/>
    <w:rsid w:val="7FA91BE9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1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4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8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Header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Footer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Balloon Text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10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List Paragraph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Date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4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2022-01-10T02:43:52Z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